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3D" w:rsidRDefault="00F1093D" w:rsidP="00F1093D">
      <w:pPr>
        <w:pBdr>
          <w:top w:val="nil"/>
          <w:left w:val="nil"/>
          <w:bottom w:val="nil"/>
          <w:right w:val="nil"/>
          <w:between w:val="nil"/>
        </w:pBdr>
        <w:spacing w:before="240" w:after="160" w:line="264" w:lineRule="auto"/>
        <w:jc w:val="right"/>
      </w:pPr>
      <w:bookmarkStart w:id="0" w:name="_GoBack"/>
      <w:bookmarkEnd w:id="0"/>
      <w:r>
        <w:rPr>
          <w:noProof/>
          <w:lang w:val="sk-SK"/>
        </w:rPr>
        <w:drawing>
          <wp:inline distT="0" distB="0" distL="0" distR="0" wp14:anchorId="171D3C40" wp14:editId="579D3419">
            <wp:extent cx="1415205" cy="520700"/>
            <wp:effectExtent l="0" t="0" r="0" b="0"/>
            <wp:docPr id="4" name="Obrázok 4" descr="VEOLIA_logo_(horizontalny)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VEOLIA_logo_(horizontalny)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557" cy="523405"/>
                    </a:xfrm>
                    <a:prstGeom prst="rect">
                      <a:avLst/>
                    </a:prstGeom>
                    <a:noFill/>
                    <a:ln>
                      <a:noFill/>
                    </a:ln>
                  </pic:spPr>
                </pic:pic>
              </a:graphicData>
            </a:graphic>
          </wp:inline>
        </w:drawing>
      </w:r>
    </w:p>
    <w:p w:rsidR="00F1093D" w:rsidRPr="00017A4B" w:rsidRDefault="00F1093D" w:rsidP="002B2FC5">
      <w:pPr>
        <w:pBdr>
          <w:top w:val="nil"/>
          <w:left w:val="nil"/>
          <w:bottom w:val="nil"/>
          <w:right w:val="nil"/>
          <w:between w:val="nil"/>
        </w:pBdr>
        <w:spacing w:before="240" w:after="160" w:line="264" w:lineRule="auto"/>
        <w:jc w:val="both"/>
      </w:pPr>
    </w:p>
    <w:p w:rsidR="002B2FC5" w:rsidRPr="002B2FC5" w:rsidRDefault="006A1AAD" w:rsidP="00F1093D">
      <w:pPr>
        <w:pBdr>
          <w:top w:val="nil"/>
          <w:left w:val="nil"/>
          <w:bottom w:val="nil"/>
          <w:right w:val="nil"/>
          <w:between w:val="nil"/>
        </w:pBdr>
        <w:spacing w:before="240" w:after="160" w:line="264" w:lineRule="auto"/>
        <w:jc w:val="center"/>
        <w:rPr>
          <w:rFonts w:eastAsia="Times New Roman"/>
          <w:b/>
          <w:caps/>
          <w:sz w:val="24"/>
          <w:szCs w:val="24"/>
        </w:rPr>
      </w:pPr>
      <w:r>
        <w:rPr>
          <w:rFonts w:eastAsia="Times New Roman"/>
          <w:b/>
          <w:caps/>
          <w:sz w:val="24"/>
          <w:szCs w:val="24"/>
        </w:rPr>
        <w:t>ŠtandardnÁ</w:t>
      </w:r>
      <w:r w:rsidR="00CC4346">
        <w:rPr>
          <w:rFonts w:eastAsia="Times New Roman"/>
          <w:b/>
          <w:caps/>
          <w:sz w:val="24"/>
          <w:szCs w:val="24"/>
        </w:rPr>
        <w:t xml:space="preserve"> protikorupČnÁ doloŽ</w:t>
      </w:r>
      <w:r w:rsidR="002B2FC5" w:rsidRPr="002B2FC5">
        <w:rPr>
          <w:rFonts w:eastAsia="Times New Roman"/>
          <w:b/>
          <w:caps/>
          <w:sz w:val="24"/>
          <w:szCs w:val="24"/>
        </w:rPr>
        <w:t>ka</w:t>
      </w:r>
    </w:p>
    <w:p w:rsidR="002B2FC5" w:rsidRPr="002B2FC5" w:rsidRDefault="002B2FC5" w:rsidP="002B2FC5">
      <w:pPr>
        <w:pStyle w:val="Podtitul"/>
        <w:rPr>
          <w:color w:val="auto"/>
          <w:sz w:val="22"/>
          <w:szCs w:val="22"/>
        </w:rPr>
      </w:pPr>
    </w:p>
    <w:p w:rsidR="002B2FC5" w:rsidRPr="002B2FC5" w:rsidRDefault="002B2FC5" w:rsidP="002B2FC5">
      <w:pPr>
        <w:pStyle w:val="Podtitul"/>
        <w:numPr>
          <w:ilvl w:val="0"/>
          <w:numId w:val="1"/>
        </w:numPr>
        <w:ind w:left="1077"/>
        <w:rPr>
          <w:color w:val="auto"/>
          <w:sz w:val="22"/>
          <w:szCs w:val="22"/>
        </w:rPr>
      </w:pPr>
      <w:r w:rsidRPr="002B2FC5">
        <w:rPr>
          <w:color w:val="auto"/>
          <w:sz w:val="22"/>
          <w:szCs w:val="22"/>
        </w:rPr>
        <w:t>Preambula</w:t>
      </w:r>
    </w:p>
    <w:p w:rsidR="002B2FC5" w:rsidRDefault="002B2FC5" w:rsidP="002B2FC5">
      <w:pPr>
        <w:autoSpaceDE w:val="0"/>
        <w:autoSpaceDN w:val="0"/>
        <w:spacing w:before="47" w:line="223" w:lineRule="exact"/>
        <w:jc w:val="both"/>
        <w:rPr>
          <w:color w:val="auto"/>
          <w:sz w:val="22"/>
          <w:szCs w:val="22"/>
        </w:rPr>
      </w:pPr>
      <w:r w:rsidRPr="002B2FC5">
        <w:rPr>
          <w:color w:val="auto"/>
          <w:sz w:val="22"/>
          <w:szCs w:val="22"/>
        </w:rPr>
        <w:t>Táto doložka musí byť zahrnutá v zmluvách s dodávateľmi, subdodávateľmi, sprostredkovateľmi a dohodách o konzorciu alebo spoločnom podniku.</w:t>
      </w:r>
    </w:p>
    <w:p w:rsidR="002B2FC5" w:rsidRPr="002B2FC5" w:rsidRDefault="002B2FC5" w:rsidP="002B2FC5">
      <w:pPr>
        <w:autoSpaceDE w:val="0"/>
        <w:autoSpaceDN w:val="0"/>
        <w:spacing w:before="47" w:line="223" w:lineRule="exact"/>
        <w:jc w:val="both"/>
        <w:rPr>
          <w:color w:val="auto"/>
          <w:sz w:val="22"/>
          <w:szCs w:val="22"/>
        </w:rPr>
      </w:pPr>
    </w:p>
    <w:p w:rsidR="002B2FC5" w:rsidRPr="002B2FC5" w:rsidRDefault="002B2FC5" w:rsidP="002B2FC5">
      <w:pPr>
        <w:pStyle w:val="Podtitul"/>
        <w:numPr>
          <w:ilvl w:val="0"/>
          <w:numId w:val="1"/>
        </w:numPr>
        <w:spacing w:before="240"/>
        <w:ind w:left="1077"/>
        <w:rPr>
          <w:color w:val="auto"/>
          <w:sz w:val="22"/>
          <w:szCs w:val="22"/>
        </w:rPr>
      </w:pPr>
      <w:r w:rsidRPr="002B2FC5">
        <w:rPr>
          <w:color w:val="auto"/>
          <w:sz w:val="22"/>
          <w:szCs w:val="22"/>
        </w:rPr>
        <w:t>Preambula</w:t>
      </w:r>
    </w:p>
    <w:p w:rsidR="002B2FC5" w:rsidRPr="002B2FC5" w:rsidRDefault="002B2FC5" w:rsidP="002B2FC5">
      <w:pPr>
        <w:autoSpaceDE w:val="0"/>
        <w:autoSpaceDN w:val="0"/>
        <w:spacing w:line="223" w:lineRule="exact"/>
        <w:jc w:val="both"/>
        <w:rPr>
          <w:color w:val="auto"/>
          <w:sz w:val="22"/>
          <w:szCs w:val="22"/>
        </w:rPr>
      </w:pPr>
      <w:r w:rsidRPr="002B2FC5">
        <w:rPr>
          <w:color w:val="auto"/>
          <w:sz w:val="22"/>
          <w:szCs w:val="22"/>
        </w:rPr>
        <w:t>“Zmluvné strany sa týmto zaväzujú prísne dodržiavať všetky platné predpisy týkajúce sa obchodnej etiky vrátane predpisov zakazujúcich podplácanie verejných alebo súkromných činiteľov, obchodovanie s vplyvom, pranie špinavých peňazí vrátane francúzskeho protikorupčného zákona známeho ako „Sapin II“ z 9. decembra 2016.</w:t>
      </w:r>
    </w:p>
    <w:p w:rsidR="002B2FC5" w:rsidRPr="002B2FC5" w:rsidRDefault="002B2FC5" w:rsidP="002B2FC5">
      <w:pPr>
        <w:autoSpaceDE w:val="0"/>
        <w:autoSpaceDN w:val="0"/>
        <w:spacing w:line="223" w:lineRule="exact"/>
        <w:jc w:val="both"/>
        <w:rPr>
          <w:color w:val="auto"/>
          <w:sz w:val="22"/>
          <w:szCs w:val="22"/>
        </w:rPr>
      </w:pPr>
    </w:p>
    <w:p w:rsidR="002B2FC5" w:rsidRPr="002B2FC5" w:rsidRDefault="002B2FC5" w:rsidP="002B2FC5">
      <w:pPr>
        <w:autoSpaceDE w:val="0"/>
        <w:autoSpaceDN w:val="0"/>
        <w:spacing w:line="223" w:lineRule="exact"/>
        <w:jc w:val="both"/>
        <w:rPr>
          <w:color w:val="auto"/>
          <w:sz w:val="22"/>
          <w:szCs w:val="22"/>
        </w:rPr>
      </w:pPr>
      <w:r w:rsidRPr="002B2FC5">
        <w:rPr>
          <w:color w:val="auto"/>
          <w:sz w:val="22"/>
          <w:szCs w:val="22"/>
        </w:rPr>
        <w:t>Zmluvné strany sa zaväzujú zaviesť a implementovať všetky potrebné a primerané politiky a opatrenia na predchádzanie korupcii.</w:t>
      </w:r>
    </w:p>
    <w:p w:rsidR="002B2FC5" w:rsidRPr="002B2FC5" w:rsidRDefault="002B2FC5" w:rsidP="002B2FC5">
      <w:pPr>
        <w:autoSpaceDE w:val="0"/>
        <w:autoSpaceDN w:val="0"/>
        <w:spacing w:line="223" w:lineRule="exact"/>
        <w:jc w:val="both"/>
        <w:rPr>
          <w:color w:val="auto"/>
          <w:sz w:val="22"/>
          <w:szCs w:val="22"/>
        </w:rPr>
      </w:pPr>
    </w:p>
    <w:p w:rsidR="002B2FC5" w:rsidRPr="002B2FC5" w:rsidRDefault="002B2FC5" w:rsidP="002B2FC5">
      <w:pPr>
        <w:autoSpaceDE w:val="0"/>
        <w:autoSpaceDN w:val="0"/>
        <w:jc w:val="both"/>
        <w:rPr>
          <w:color w:val="auto"/>
          <w:sz w:val="22"/>
          <w:szCs w:val="22"/>
        </w:rPr>
      </w:pPr>
      <w:r w:rsidRPr="002B2FC5">
        <w:rPr>
          <w:color w:val="auto"/>
          <w:sz w:val="22"/>
          <w:szCs w:val="22"/>
        </w:rPr>
        <w:t xml:space="preserve">Zmluvná protistrana </w:t>
      </w:r>
      <w:r w:rsidRPr="002B2FC5">
        <w:rPr>
          <w:color w:val="auto"/>
          <w:sz w:val="22"/>
          <w:szCs w:val="22"/>
          <w:u w:val="single"/>
        </w:rPr>
        <w:t>sa zaväzuje, že sumy vyplatené pri plnení tejto zmluvy budú slúžiť výhradne na účel kompenzácie zmluvnej protistrany za dohodnuté dodávky a služby</w:t>
      </w:r>
      <w:r w:rsidRPr="002B2FC5">
        <w:rPr>
          <w:color w:val="auto"/>
          <w:sz w:val="22"/>
          <w:szCs w:val="22"/>
        </w:rPr>
        <w:t>.</w:t>
      </w:r>
      <w:r w:rsidR="00CC4346" w:rsidRPr="002B2FC5">
        <w:rPr>
          <w:color w:val="auto"/>
          <w:sz w:val="22"/>
          <w:szCs w:val="22"/>
        </w:rPr>
        <w:t xml:space="preserve"> </w:t>
      </w:r>
      <w:r w:rsidRPr="002B2FC5">
        <w:rPr>
          <w:color w:val="auto"/>
          <w:sz w:val="22"/>
          <w:szCs w:val="22"/>
        </w:rPr>
        <w:t>Zmluvná protistrana vyhlasuje, že podľa jej vedomostí žiadny z jej zástupcov ani osôb vykonávajúcich služby v jej mene podľa tejto zmluvy neponúka, neposkytuje, nevyžaduje ani neprijíma žiadnu výhodu verejnej alebo súkromnej právnickej osobe, fyzickej osobe (vrátane verejného činiteľa) s úmyslom spáchať akékoľvek porušenie uvedené v prvom odseku.</w:t>
      </w:r>
    </w:p>
    <w:p w:rsidR="002B2FC5" w:rsidRPr="002B2FC5" w:rsidRDefault="002B2FC5" w:rsidP="002B2FC5">
      <w:pPr>
        <w:autoSpaceDE w:val="0"/>
        <w:autoSpaceDN w:val="0"/>
        <w:spacing w:line="223" w:lineRule="exact"/>
        <w:jc w:val="both"/>
        <w:rPr>
          <w:color w:val="auto"/>
          <w:sz w:val="22"/>
          <w:szCs w:val="22"/>
        </w:rPr>
      </w:pPr>
    </w:p>
    <w:p w:rsidR="002B2FC5" w:rsidRPr="002B2FC5" w:rsidRDefault="002B2FC5" w:rsidP="002B2FC5">
      <w:pPr>
        <w:autoSpaceDE w:val="0"/>
        <w:autoSpaceDN w:val="0"/>
        <w:spacing w:line="223" w:lineRule="exact"/>
        <w:jc w:val="both"/>
        <w:rPr>
          <w:color w:val="auto"/>
          <w:sz w:val="22"/>
          <w:szCs w:val="22"/>
        </w:rPr>
      </w:pPr>
      <w:r w:rsidRPr="002B2FC5">
        <w:rPr>
          <w:color w:val="auto"/>
          <w:sz w:val="22"/>
          <w:szCs w:val="22"/>
        </w:rPr>
        <w:t>Ak má Veolia dôvodné podozrenie domnievať sa, že táto doložka bola porušená, Veolia môže pozastaviť na základe jednoduchého oznámenia bez predchádzajúceho upozornenia plnenie tejto Zmluvy na čas potrebný na overenie situácie, bez toho, aby jej vznikla vlastná zodpovednosť alebo povinnosť voči zmluvnej protistrane. Zmluvné strany sa vzájomne zaväzujú vykonať potrebné overenia prostredníctvom spolupráce v dobrej viere.</w:t>
      </w:r>
    </w:p>
    <w:p w:rsidR="002B2FC5" w:rsidRPr="002B2FC5" w:rsidRDefault="002B2FC5" w:rsidP="002B2FC5">
      <w:pPr>
        <w:autoSpaceDE w:val="0"/>
        <w:autoSpaceDN w:val="0"/>
        <w:spacing w:line="223" w:lineRule="exact"/>
        <w:jc w:val="both"/>
        <w:rPr>
          <w:color w:val="auto"/>
          <w:sz w:val="22"/>
          <w:szCs w:val="22"/>
        </w:rPr>
      </w:pPr>
    </w:p>
    <w:p w:rsidR="002B2FC5" w:rsidRPr="002B2FC5" w:rsidRDefault="002B2FC5" w:rsidP="002B2FC5">
      <w:pPr>
        <w:autoSpaceDE w:val="0"/>
        <w:autoSpaceDN w:val="0"/>
        <w:spacing w:line="223" w:lineRule="exact"/>
        <w:jc w:val="both"/>
        <w:rPr>
          <w:color w:val="auto"/>
          <w:sz w:val="22"/>
          <w:szCs w:val="22"/>
        </w:rPr>
      </w:pPr>
      <w:r w:rsidRPr="002B2FC5">
        <w:rPr>
          <w:color w:val="auto"/>
          <w:sz w:val="22"/>
          <w:szCs w:val="22"/>
        </w:rPr>
        <w:t>V prípade preukázaného porušenia môže Veolia Zmluvu vypovedať bez predchádzajúceho upozornenia a bez zodpovednosti.</w:t>
      </w:r>
    </w:p>
    <w:p w:rsidR="002B2FC5" w:rsidRPr="002B2FC5" w:rsidRDefault="002B2FC5" w:rsidP="002B2FC5">
      <w:pPr>
        <w:autoSpaceDE w:val="0"/>
        <w:autoSpaceDN w:val="0"/>
        <w:spacing w:line="223" w:lineRule="exact"/>
        <w:jc w:val="both"/>
        <w:rPr>
          <w:color w:val="auto"/>
          <w:sz w:val="22"/>
          <w:szCs w:val="22"/>
        </w:rPr>
      </w:pPr>
    </w:p>
    <w:p w:rsidR="00C80EBC" w:rsidRDefault="002B2FC5" w:rsidP="002B2FC5">
      <w:pPr>
        <w:autoSpaceDE w:val="0"/>
        <w:autoSpaceDN w:val="0"/>
        <w:spacing w:line="223" w:lineRule="exact"/>
        <w:jc w:val="both"/>
        <w:rPr>
          <w:color w:val="auto"/>
          <w:sz w:val="22"/>
          <w:szCs w:val="22"/>
        </w:rPr>
      </w:pPr>
      <w:r w:rsidRPr="002B2FC5">
        <w:rPr>
          <w:color w:val="auto"/>
          <w:sz w:val="22"/>
          <w:szCs w:val="22"/>
        </w:rPr>
        <w:t>Dodržiavanie tohto ustanovenia je jednou zo základných povinno</w:t>
      </w:r>
      <w:r w:rsidR="006A1AAD">
        <w:rPr>
          <w:color w:val="auto"/>
          <w:sz w:val="22"/>
          <w:szCs w:val="22"/>
        </w:rPr>
        <w:t>stí Zmluvy.</w:t>
      </w:r>
    </w:p>
    <w:p w:rsidR="002B2FC5" w:rsidRDefault="002B2FC5" w:rsidP="002B2FC5">
      <w:pPr>
        <w:autoSpaceDE w:val="0"/>
        <w:autoSpaceDN w:val="0"/>
        <w:spacing w:line="223" w:lineRule="exact"/>
        <w:jc w:val="both"/>
        <w:rPr>
          <w:color w:val="auto"/>
          <w:sz w:val="22"/>
          <w:szCs w:val="22"/>
        </w:rPr>
      </w:pPr>
    </w:p>
    <w:p w:rsidR="002B2FC5" w:rsidRDefault="002B2FC5" w:rsidP="002B2FC5">
      <w:pPr>
        <w:autoSpaceDE w:val="0"/>
        <w:autoSpaceDN w:val="0"/>
        <w:spacing w:line="223" w:lineRule="exact"/>
        <w:jc w:val="both"/>
        <w:rPr>
          <w:color w:val="auto"/>
          <w:sz w:val="22"/>
          <w:szCs w:val="22"/>
        </w:rPr>
      </w:pPr>
    </w:p>
    <w:p w:rsidR="002B2FC5" w:rsidRDefault="002B2FC5" w:rsidP="002B2FC5">
      <w:pPr>
        <w:autoSpaceDE w:val="0"/>
        <w:autoSpaceDN w:val="0"/>
        <w:spacing w:line="223" w:lineRule="exact"/>
        <w:jc w:val="both"/>
        <w:rPr>
          <w:color w:val="auto"/>
          <w:sz w:val="22"/>
          <w:szCs w:val="22"/>
        </w:rPr>
      </w:pPr>
    </w:p>
    <w:p w:rsidR="002B2FC5" w:rsidRDefault="002B2FC5" w:rsidP="002B2FC5">
      <w:pPr>
        <w:autoSpaceDE w:val="0"/>
        <w:autoSpaceDN w:val="0"/>
        <w:spacing w:line="223" w:lineRule="exact"/>
        <w:jc w:val="both"/>
        <w:rPr>
          <w:color w:val="auto"/>
          <w:sz w:val="22"/>
          <w:szCs w:val="22"/>
        </w:rPr>
      </w:pPr>
    </w:p>
    <w:p w:rsidR="002B2FC5" w:rsidRDefault="002B2FC5" w:rsidP="002B2FC5">
      <w:pPr>
        <w:autoSpaceDE w:val="0"/>
        <w:autoSpaceDN w:val="0"/>
        <w:spacing w:line="223" w:lineRule="exact"/>
        <w:jc w:val="both"/>
        <w:rPr>
          <w:color w:val="auto"/>
          <w:sz w:val="22"/>
          <w:szCs w:val="22"/>
        </w:rPr>
      </w:pPr>
    </w:p>
    <w:p w:rsidR="002B2FC5" w:rsidRDefault="002B2FC5" w:rsidP="002B2FC5">
      <w:pPr>
        <w:autoSpaceDE w:val="0"/>
        <w:autoSpaceDN w:val="0"/>
        <w:spacing w:line="223" w:lineRule="exact"/>
        <w:jc w:val="both"/>
        <w:rPr>
          <w:color w:val="auto"/>
          <w:sz w:val="22"/>
          <w:szCs w:val="22"/>
        </w:rPr>
      </w:pPr>
    </w:p>
    <w:p w:rsidR="002B2FC5" w:rsidRDefault="002B2FC5" w:rsidP="002B2FC5">
      <w:pPr>
        <w:autoSpaceDE w:val="0"/>
        <w:autoSpaceDN w:val="0"/>
        <w:spacing w:line="223" w:lineRule="exact"/>
        <w:jc w:val="both"/>
        <w:rPr>
          <w:color w:val="auto"/>
          <w:sz w:val="22"/>
          <w:szCs w:val="22"/>
        </w:rPr>
      </w:pPr>
    </w:p>
    <w:p w:rsidR="002B2FC5" w:rsidRDefault="002B2FC5" w:rsidP="002B2FC5">
      <w:pPr>
        <w:autoSpaceDE w:val="0"/>
        <w:autoSpaceDN w:val="0"/>
        <w:spacing w:line="223" w:lineRule="exact"/>
        <w:jc w:val="both"/>
        <w:rPr>
          <w:color w:val="auto"/>
          <w:sz w:val="22"/>
          <w:szCs w:val="22"/>
        </w:rPr>
      </w:pPr>
    </w:p>
    <w:p w:rsidR="002B2FC5" w:rsidRDefault="002B2FC5" w:rsidP="002B2FC5">
      <w:pPr>
        <w:autoSpaceDE w:val="0"/>
        <w:autoSpaceDN w:val="0"/>
        <w:spacing w:line="223" w:lineRule="exact"/>
        <w:jc w:val="both"/>
        <w:rPr>
          <w:color w:val="auto"/>
          <w:sz w:val="22"/>
          <w:szCs w:val="22"/>
        </w:rPr>
      </w:pPr>
    </w:p>
    <w:p w:rsidR="002B2FC5" w:rsidRDefault="002B2FC5" w:rsidP="002B2FC5">
      <w:pPr>
        <w:autoSpaceDE w:val="0"/>
        <w:autoSpaceDN w:val="0"/>
        <w:spacing w:line="223" w:lineRule="exact"/>
        <w:jc w:val="both"/>
        <w:rPr>
          <w:color w:val="auto"/>
          <w:sz w:val="22"/>
          <w:szCs w:val="22"/>
        </w:rPr>
      </w:pPr>
    </w:p>
    <w:p w:rsidR="002B2FC5" w:rsidRDefault="002B2FC5" w:rsidP="002B2FC5">
      <w:pPr>
        <w:autoSpaceDE w:val="0"/>
        <w:autoSpaceDN w:val="0"/>
        <w:spacing w:line="223" w:lineRule="exact"/>
        <w:jc w:val="both"/>
        <w:rPr>
          <w:color w:val="auto"/>
          <w:sz w:val="22"/>
          <w:szCs w:val="22"/>
        </w:rPr>
      </w:pPr>
    </w:p>
    <w:p w:rsidR="002B2FC5" w:rsidRPr="002B2FC5" w:rsidRDefault="002B2FC5" w:rsidP="002B2FC5">
      <w:pPr>
        <w:autoSpaceDE w:val="0"/>
        <w:autoSpaceDN w:val="0"/>
        <w:spacing w:line="223" w:lineRule="exact"/>
        <w:jc w:val="both"/>
        <w:rPr>
          <w:color w:val="auto"/>
          <w:sz w:val="22"/>
          <w:szCs w:val="22"/>
        </w:rPr>
      </w:pPr>
    </w:p>
    <w:sectPr w:rsidR="002B2FC5" w:rsidRPr="002B2F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628" w:rsidRDefault="008A4628" w:rsidP="002B2FC5">
      <w:r>
        <w:separator/>
      </w:r>
    </w:p>
  </w:endnote>
  <w:endnote w:type="continuationSeparator" w:id="0">
    <w:p w:rsidR="008A4628" w:rsidRDefault="008A4628" w:rsidP="002B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628" w:rsidRDefault="008A4628" w:rsidP="002B2FC5">
      <w:r>
        <w:separator/>
      </w:r>
    </w:p>
  </w:footnote>
  <w:footnote w:type="continuationSeparator" w:id="0">
    <w:p w:rsidR="008A4628" w:rsidRDefault="008A4628" w:rsidP="002B2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A2B80"/>
    <w:multiLevelType w:val="hybridMultilevel"/>
    <w:tmpl w:val="34284F30"/>
    <w:lvl w:ilvl="0" w:tplc="EB84B79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353240E"/>
    <w:multiLevelType w:val="hybridMultilevel"/>
    <w:tmpl w:val="34284F30"/>
    <w:lvl w:ilvl="0" w:tplc="EB84B79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C5"/>
    <w:rsid w:val="002B2FC5"/>
    <w:rsid w:val="004F5F70"/>
    <w:rsid w:val="006A1AAD"/>
    <w:rsid w:val="007F4412"/>
    <w:rsid w:val="008A4628"/>
    <w:rsid w:val="009772F0"/>
    <w:rsid w:val="00AB20D6"/>
    <w:rsid w:val="00C80EBC"/>
    <w:rsid w:val="00CC4346"/>
    <w:rsid w:val="00F1093D"/>
    <w:rsid w:val="00F342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2B2FC5"/>
    <w:pPr>
      <w:widowControl w:val="0"/>
      <w:spacing w:after="0" w:line="240" w:lineRule="auto"/>
    </w:pPr>
    <w:rPr>
      <w:rFonts w:ascii="Arial" w:eastAsia="Arial" w:hAnsi="Arial" w:cs="Arial"/>
      <w:color w:val="333333"/>
      <w:sz w:val="20"/>
      <w:szCs w:val="20"/>
      <w:lang w:val="fr-FR"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dtitul">
    <w:name w:val="Subtitle"/>
    <w:basedOn w:val="Normlny"/>
    <w:next w:val="Normlny"/>
    <w:link w:val="PodtitulChar"/>
    <w:rsid w:val="002B2FC5"/>
    <w:pPr>
      <w:keepNext/>
      <w:keepLines/>
      <w:spacing w:after="240"/>
    </w:pPr>
    <w:rPr>
      <w:b/>
      <w:sz w:val="24"/>
      <w:szCs w:val="24"/>
    </w:rPr>
  </w:style>
  <w:style w:type="character" w:customStyle="1" w:styleId="PodtitulChar">
    <w:name w:val="Podtitul Char"/>
    <w:basedOn w:val="Predvolenpsmoodseku"/>
    <w:link w:val="Podtitul"/>
    <w:rsid w:val="002B2FC5"/>
    <w:rPr>
      <w:rFonts w:ascii="Arial" w:eastAsia="Arial" w:hAnsi="Arial" w:cs="Arial"/>
      <w:b/>
      <w:color w:val="333333"/>
      <w:sz w:val="24"/>
      <w:szCs w:val="24"/>
      <w:lang w:val="fr-FR" w:eastAsia="sk-SK"/>
    </w:rPr>
  </w:style>
  <w:style w:type="paragraph" w:styleId="Textpoznmkypodiarou">
    <w:name w:val="footnote text"/>
    <w:basedOn w:val="Normlny"/>
    <w:link w:val="TextpoznmkypodiarouChar"/>
    <w:uiPriority w:val="99"/>
    <w:semiHidden/>
    <w:unhideWhenUsed/>
    <w:rsid w:val="002B2FC5"/>
  </w:style>
  <w:style w:type="character" w:customStyle="1" w:styleId="TextpoznmkypodiarouChar">
    <w:name w:val="Text poznámky pod čiarou Char"/>
    <w:basedOn w:val="Predvolenpsmoodseku"/>
    <w:link w:val="Textpoznmkypodiarou"/>
    <w:uiPriority w:val="99"/>
    <w:semiHidden/>
    <w:rsid w:val="002B2FC5"/>
    <w:rPr>
      <w:rFonts w:ascii="Arial" w:eastAsia="Arial" w:hAnsi="Arial" w:cs="Arial"/>
      <w:color w:val="333333"/>
      <w:sz w:val="20"/>
      <w:szCs w:val="20"/>
      <w:lang w:val="fr-FR" w:eastAsia="sk-SK"/>
    </w:rPr>
  </w:style>
  <w:style w:type="character" w:styleId="Odkaznapoznmkupodiarou">
    <w:name w:val="footnote reference"/>
    <w:basedOn w:val="Predvolenpsmoodseku"/>
    <w:uiPriority w:val="99"/>
    <w:semiHidden/>
    <w:unhideWhenUsed/>
    <w:rsid w:val="002B2FC5"/>
    <w:rPr>
      <w:vertAlign w:val="superscript"/>
    </w:rPr>
  </w:style>
  <w:style w:type="paragraph" w:styleId="Textbubliny">
    <w:name w:val="Balloon Text"/>
    <w:basedOn w:val="Normlny"/>
    <w:link w:val="TextbublinyChar"/>
    <w:uiPriority w:val="99"/>
    <w:semiHidden/>
    <w:unhideWhenUsed/>
    <w:rsid w:val="00F1093D"/>
    <w:rPr>
      <w:rFonts w:ascii="Tahoma" w:hAnsi="Tahoma" w:cs="Tahoma"/>
      <w:sz w:val="16"/>
      <w:szCs w:val="16"/>
    </w:rPr>
  </w:style>
  <w:style w:type="character" w:customStyle="1" w:styleId="TextbublinyChar">
    <w:name w:val="Text bubliny Char"/>
    <w:basedOn w:val="Predvolenpsmoodseku"/>
    <w:link w:val="Textbubliny"/>
    <w:uiPriority w:val="99"/>
    <w:semiHidden/>
    <w:rsid w:val="00F1093D"/>
    <w:rPr>
      <w:rFonts w:ascii="Tahoma" w:eastAsia="Arial" w:hAnsi="Tahoma" w:cs="Tahoma"/>
      <w:color w:val="333333"/>
      <w:sz w:val="16"/>
      <w:szCs w:val="16"/>
      <w:lang w:val="fr-FR"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2B2FC5"/>
    <w:pPr>
      <w:widowControl w:val="0"/>
      <w:spacing w:after="0" w:line="240" w:lineRule="auto"/>
    </w:pPr>
    <w:rPr>
      <w:rFonts w:ascii="Arial" w:eastAsia="Arial" w:hAnsi="Arial" w:cs="Arial"/>
      <w:color w:val="333333"/>
      <w:sz w:val="20"/>
      <w:szCs w:val="20"/>
      <w:lang w:val="fr-FR"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dtitul">
    <w:name w:val="Subtitle"/>
    <w:basedOn w:val="Normlny"/>
    <w:next w:val="Normlny"/>
    <w:link w:val="PodtitulChar"/>
    <w:rsid w:val="002B2FC5"/>
    <w:pPr>
      <w:keepNext/>
      <w:keepLines/>
      <w:spacing w:after="240"/>
    </w:pPr>
    <w:rPr>
      <w:b/>
      <w:sz w:val="24"/>
      <w:szCs w:val="24"/>
    </w:rPr>
  </w:style>
  <w:style w:type="character" w:customStyle="1" w:styleId="PodtitulChar">
    <w:name w:val="Podtitul Char"/>
    <w:basedOn w:val="Predvolenpsmoodseku"/>
    <w:link w:val="Podtitul"/>
    <w:rsid w:val="002B2FC5"/>
    <w:rPr>
      <w:rFonts w:ascii="Arial" w:eastAsia="Arial" w:hAnsi="Arial" w:cs="Arial"/>
      <w:b/>
      <w:color w:val="333333"/>
      <w:sz w:val="24"/>
      <w:szCs w:val="24"/>
      <w:lang w:val="fr-FR" w:eastAsia="sk-SK"/>
    </w:rPr>
  </w:style>
  <w:style w:type="paragraph" w:styleId="Textpoznmkypodiarou">
    <w:name w:val="footnote text"/>
    <w:basedOn w:val="Normlny"/>
    <w:link w:val="TextpoznmkypodiarouChar"/>
    <w:uiPriority w:val="99"/>
    <w:semiHidden/>
    <w:unhideWhenUsed/>
    <w:rsid w:val="002B2FC5"/>
  </w:style>
  <w:style w:type="character" w:customStyle="1" w:styleId="TextpoznmkypodiarouChar">
    <w:name w:val="Text poznámky pod čiarou Char"/>
    <w:basedOn w:val="Predvolenpsmoodseku"/>
    <w:link w:val="Textpoznmkypodiarou"/>
    <w:uiPriority w:val="99"/>
    <w:semiHidden/>
    <w:rsid w:val="002B2FC5"/>
    <w:rPr>
      <w:rFonts w:ascii="Arial" w:eastAsia="Arial" w:hAnsi="Arial" w:cs="Arial"/>
      <w:color w:val="333333"/>
      <w:sz w:val="20"/>
      <w:szCs w:val="20"/>
      <w:lang w:val="fr-FR" w:eastAsia="sk-SK"/>
    </w:rPr>
  </w:style>
  <w:style w:type="character" w:styleId="Odkaznapoznmkupodiarou">
    <w:name w:val="footnote reference"/>
    <w:basedOn w:val="Predvolenpsmoodseku"/>
    <w:uiPriority w:val="99"/>
    <w:semiHidden/>
    <w:unhideWhenUsed/>
    <w:rsid w:val="002B2FC5"/>
    <w:rPr>
      <w:vertAlign w:val="superscript"/>
    </w:rPr>
  </w:style>
  <w:style w:type="paragraph" w:styleId="Textbubliny">
    <w:name w:val="Balloon Text"/>
    <w:basedOn w:val="Normlny"/>
    <w:link w:val="TextbublinyChar"/>
    <w:uiPriority w:val="99"/>
    <w:semiHidden/>
    <w:unhideWhenUsed/>
    <w:rsid w:val="00F1093D"/>
    <w:rPr>
      <w:rFonts w:ascii="Tahoma" w:hAnsi="Tahoma" w:cs="Tahoma"/>
      <w:sz w:val="16"/>
      <w:szCs w:val="16"/>
    </w:rPr>
  </w:style>
  <w:style w:type="character" w:customStyle="1" w:styleId="TextbublinyChar">
    <w:name w:val="Text bubliny Char"/>
    <w:basedOn w:val="Predvolenpsmoodseku"/>
    <w:link w:val="Textbubliny"/>
    <w:uiPriority w:val="99"/>
    <w:semiHidden/>
    <w:rsid w:val="00F1093D"/>
    <w:rPr>
      <w:rFonts w:ascii="Tahoma" w:eastAsia="Arial" w:hAnsi="Tahoma" w:cs="Tahoma"/>
      <w:color w:val="333333"/>
      <w:sz w:val="16"/>
      <w:szCs w:val="16"/>
      <w:lang w:val="fr-FR"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1522</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Gažmerčíková</dc:creator>
  <cp:lastModifiedBy>Jana Gažmerčíková</cp:lastModifiedBy>
  <cp:revision>3</cp:revision>
  <dcterms:created xsi:type="dcterms:W3CDTF">2025-06-04T10:20:00Z</dcterms:created>
  <dcterms:modified xsi:type="dcterms:W3CDTF">2025-06-27T08:35:00Z</dcterms:modified>
</cp:coreProperties>
</file>